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4A7CC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Deputy un</w:t>
      </w:r>
      <w:r w:rsidR="00C76C02">
        <w:rPr>
          <w:rFonts w:asciiTheme="majorHAnsi" w:hAnsiTheme="majorHAnsi" w:cstheme="majorHAnsi"/>
          <w:szCs w:val="26"/>
        </w:rPr>
        <w:t>ited States trade representative</w:t>
      </w:r>
      <w:r>
        <w:rPr>
          <w:rFonts w:asciiTheme="majorHAnsi" w:hAnsiTheme="majorHAnsi" w:cstheme="majorHAnsi"/>
          <w:szCs w:val="26"/>
        </w:rPr>
        <w:t>, executive office of the president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5C254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254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5C2547" w:rsidRDefault="000E0157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 xml:space="preserve">Senate </w:t>
            </w:r>
            <w:r w:rsidR="00B92A39" w:rsidRPr="005C254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5C2547" w:rsidRDefault="0047762A" w:rsidP="00D56177">
            <w:pPr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bCs/>
              </w:rPr>
              <w:t>Finance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3910F3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5C2547" w:rsidRDefault="00C542FE" w:rsidP="00C542FE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T</w:t>
            </w:r>
            <w:r w:rsidR="00C76C02" w:rsidRPr="005C2547">
              <w:rPr>
                <w:rFonts w:asciiTheme="majorHAnsi" w:hAnsiTheme="majorHAnsi" w:cstheme="majorHAnsi"/>
              </w:rPr>
              <w:t xml:space="preserve">he Office of the U.S. </w:t>
            </w:r>
            <w:r w:rsidRPr="005C2547">
              <w:rPr>
                <w:rFonts w:asciiTheme="majorHAnsi" w:hAnsiTheme="majorHAnsi" w:cstheme="majorHAnsi"/>
              </w:rPr>
              <w:t>Trade Representative (USTR) is responsible for developing and coordinating U.S.</w:t>
            </w:r>
            <w:r w:rsidR="00C76C02" w:rsidRPr="005C2547">
              <w:rPr>
                <w:rFonts w:asciiTheme="majorHAnsi" w:hAnsiTheme="majorHAnsi" w:cstheme="majorHAnsi"/>
              </w:rPr>
              <w:t xml:space="preserve"> international trade, commodity</w:t>
            </w:r>
            <w:r w:rsidRPr="005C2547">
              <w:rPr>
                <w:rFonts w:asciiTheme="majorHAnsi" w:hAnsiTheme="majorHAnsi" w:cstheme="majorHAnsi"/>
              </w:rPr>
              <w:t xml:space="preserve"> and direct investment policy, and overseeing neg</w:t>
            </w:r>
            <w:r w:rsidR="00C76C02" w:rsidRPr="005C2547">
              <w:rPr>
                <w:rFonts w:asciiTheme="majorHAnsi" w:hAnsiTheme="majorHAnsi" w:cstheme="majorHAnsi"/>
              </w:rPr>
              <w:t>otiations with other countries.</w:t>
            </w:r>
            <w:r w:rsidR="006103EE" w:rsidRPr="005C2547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5C2547" w:rsidRDefault="00EF06A6" w:rsidP="008A56AB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  <w:bCs/>
              </w:rPr>
              <w:t xml:space="preserve">The </w:t>
            </w:r>
            <w:r w:rsidR="00FF2C0D" w:rsidRPr="005C2547">
              <w:rPr>
                <w:rFonts w:asciiTheme="majorHAnsi" w:hAnsiTheme="majorHAnsi" w:cstheme="majorHAnsi"/>
                <w:bCs/>
              </w:rPr>
              <w:t xml:space="preserve">deputy </w:t>
            </w:r>
            <w:r w:rsidRPr="005C2547">
              <w:rPr>
                <w:rFonts w:asciiTheme="majorHAnsi" w:hAnsiTheme="majorHAnsi" w:cstheme="majorHAnsi"/>
                <w:bCs/>
              </w:rPr>
              <w:t xml:space="preserve">works </w:t>
            </w:r>
            <w:r w:rsidR="00D05984" w:rsidRPr="005C2547">
              <w:rPr>
                <w:rFonts w:asciiTheme="majorHAnsi" w:hAnsiTheme="majorHAnsi" w:cstheme="majorHAnsi"/>
                <w:bCs/>
              </w:rPr>
              <w:t>with</w:t>
            </w:r>
            <w:r w:rsidRPr="005C2547">
              <w:rPr>
                <w:rFonts w:asciiTheme="majorHAnsi" w:hAnsiTheme="majorHAnsi" w:cstheme="majorHAnsi"/>
                <w:bCs/>
              </w:rPr>
              <w:t xml:space="preserve"> the U.S. </w:t>
            </w:r>
            <w:r w:rsidR="00FF2C0D" w:rsidRPr="005C2547">
              <w:rPr>
                <w:rFonts w:asciiTheme="majorHAnsi" w:hAnsiTheme="majorHAnsi" w:cstheme="majorHAnsi"/>
                <w:bCs/>
              </w:rPr>
              <w:t>trade representative</w:t>
            </w:r>
            <w:r w:rsidR="00D05984" w:rsidRPr="005C2547">
              <w:rPr>
                <w:rFonts w:asciiTheme="majorHAnsi" w:hAnsiTheme="majorHAnsi" w:cstheme="majorHAnsi"/>
                <w:bCs/>
              </w:rPr>
              <w:t xml:space="preserve"> in conducting</w:t>
            </w:r>
            <w:r w:rsidRPr="005C2547">
              <w:rPr>
                <w:rFonts w:asciiTheme="majorHAnsi" w:hAnsiTheme="majorHAnsi" w:cstheme="majorHAnsi"/>
                <w:bCs/>
              </w:rPr>
              <w:t xml:space="preserve"> trade negotiations </w:t>
            </w:r>
            <w:r w:rsidR="00D05984" w:rsidRPr="005C2547">
              <w:rPr>
                <w:rFonts w:asciiTheme="majorHAnsi" w:hAnsiTheme="majorHAnsi" w:cstheme="majorHAnsi"/>
                <w:bCs/>
              </w:rPr>
              <w:t xml:space="preserve">and carrying out other </w:t>
            </w:r>
            <w:r w:rsidRPr="005C2547">
              <w:rPr>
                <w:rFonts w:asciiTheme="majorHAnsi" w:hAnsiTheme="majorHAnsi" w:cstheme="majorHAnsi"/>
                <w:bCs/>
              </w:rPr>
              <w:t xml:space="preserve">functions as the U.S. </w:t>
            </w:r>
            <w:r w:rsidR="00FF2C0D" w:rsidRPr="005C2547">
              <w:rPr>
                <w:rFonts w:asciiTheme="majorHAnsi" w:hAnsiTheme="majorHAnsi" w:cstheme="majorHAnsi"/>
                <w:bCs/>
              </w:rPr>
              <w:t>trade representative</w:t>
            </w:r>
            <w:r w:rsidR="008A56AB" w:rsidRPr="005C2547">
              <w:rPr>
                <w:rFonts w:asciiTheme="majorHAnsi" w:hAnsiTheme="majorHAnsi" w:cstheme="majorHAnsi"/>
                <w:bCs/>
              </w:rPr>
              <w:t xml:space="preserve"> directs</w:t>
            </w:r>
            <w:r w:rsidRPr="005C2547">
              <w:rPr>
                <w:rFonts w:asciiTheme="majorHAnsi" w:hAnsiTheme="majorHAnsi" w:cstheme="majorHAnsi"/>
                <w:bCs/>
              </w:rPr>
              <w:t xml:space="preserve">. 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5C254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5C254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5C2547" w:rsidRDefault="001E7024" w:rsidP="00220D7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$165,300</w:t>
            </w:r>
            <w:r w:rsidR="00220D75" w:rsidRPr="005C2547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5C2547" w:rsidRPr="005C2547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C02" w:rsidRPr="005C2547" w:rsidRDefault="00C76C02" w:rsidP="00A40455">
            <w:pPr>
              <w:rPr>
                <w:rFonts w:asciiTheme="majorHAnsi" w:hAnsiTheme="majorHAnsi" w:cstheme="majorHAnsi"/>
                <w:color w:val="0070C0"/>
              </w:rPr>
            </w:pPr>
            <w:r w:rsidRPr="005C2547">
              <w:rPr>
                <w:rFonts w:asciiTheme="majorHAnsi" w:hAnsiTheme="majorHAnsi" w:cstheme="majorHAnsi"/>
              </w:rPr>
              <w:t>United State</w:t>
            </w:r>
            <w:r w:rsidR="008A56AB" w:rsidRPr="005C2547">
              <w:rPr>
                <w:rFonts w:asciiTheme="majorHAnsi" w:hAnsiTheme="majorHAnsi" w:cstheme="majorHAnsi"/>
              </w:rPr>
              <w:t>s</w:t>
            </w:r>
            <w:r w:rsidRPr="005C2547">
              <w:rPr>
                <w:rFonts w:asciiTheme="majorHAnsi" w:hAnsiTheme="majorHAnsi" w:cstheme="majorHAnsi"/>
              </w:rPr>
              <w:t xml:space="preserve"> Trade Representative</w:t>
            </w:r>
          </w:p>
        </w:tc>
      </w:tr>
      <w:tr w:rsidR="00661AE5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5C254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254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5C2547" w:rsidRDefault="00D05984" w:rsidP="00DE56EC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bCs/>
              </w:rPr>
              <w:t xml:space="preserve">The Office of the U.S. Trade Representative </w:t>
            </w:r>
            <w:r w:rsidR="008A56AB" w:rsidRPr="005C2547">
              <w:rPr>
                <w:rFonts w:asciiTheme="majorHAnsi" w:hAnsiTheme="majorHAnsi" w:cstheme="majorHAnsi"/>
                <w:bCs/>
              </w:rPr>
              <w:t xml:space="preserve">has </w:t>
            </w:r>
            <w:r w:rsidRPr="005C2547">
              <w:rPr>
                <w:rFonts w:asciiTheme="majorHAnsi" w:hAnsiTheme="majorHAnsi" w:cstheme="majorHAnsi"/>
                <w:bCs/>
              </w:rPr>
              <w:t>24 offices.</w:t>
            </w:r>
            <w:r w:rsidRPr="005C2547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DD2D60" w:rsidRPr="005C2547">
              <w:rPr>
                <w:rFonts w:asciiTheme="majorHAnsi" w:hAnsiTheme="majorHAnsi" w:cstheme="majorHAnsi"/>
                <w:bCs/>
              </w:rPr>
              <w:t xml:space="preserve"> The </w:t>
            </w:r>
            <w:r w:rsidR="00C76C02" w:rsidRPr="005C2547">
              <w:rPr>
                <w:rFonts w:asciiTheme="majorHAnsi" w:hAnsiTheme="majorHAnsi" w:cstheme="majorHAnsi"/>
                <w:bCs/>
              </w:rPr>
              <w:t>fiscal</w:t>
            </w:r>
            <w:r w:rsidR="00DD2D60" w:rsidRPr="005C2547">
              <w:rPr>
                <w:rFonts w:asciiTheme="majorHAnsi" w:hAnsiTheme="majorHAnsi" w:cstheme="majorHAnsi"/>
                <w:bCs/>
              </w:rPr>
              <w:t xml:space="preserve"> 2016 budget was an estimated $54 million, and there are a</w:t>
            </w:r>
            <w:r w:rsidR="008A56AB" w:rsidRPr="005C2547">
              <w:rPr>
                <w:rFonts w:asciiTheme="majorHAnsi" w:hAnsiTheme="majorHAnsi" w:cstheme="majorHAnsi"/>
                <w:bCs/>
              </w:rPr>
              <w:t>bout</w:t>
            </w:r>
            <w:r w:rsidR="00DD2D60" w:rsidRPr="005C2547">
              <w:rPr>
                <w:rFonts w:asciiTheme="majorHAnsi" w:hAnsiTheme="majorHAnsi" w:cstheme="majorHAnsi"/>
                <w:bCs/>
              </w:rPr>
              <w:t xml:space="preserve"> 240 </w:t>
            </w:r>
            <w:r w:rsidR="00C76C02" w:rsidRPr="005C2547">
              <w:rPr>
                <w:rFonts w:asciiTheme="majorHAnsi" w:hAnsiTheme="majorHAnsi" w:cstheme="majorHAnsi"/>
                <w:bCs/>
              </w:rPr>
              <w:t>full</w:t>
            </w:r>
            <w:r w:rsidR="008A56AB" w:rsidRPr="005C2547">
              <w:rPr>
                <w:rFonts w:asciiTheme="majorHAnsi" w:hAnsiTheme="majorHAnsi" w:cstheme="majorHAnsi"/>
                <w:bCs/>
              </w:rPr>
              <w:t>-</w:t>
            </w:r>
            <w:r w:rsidR="00C76C02" w:rsidRPr="005C2547">
              <w:rPr>
                <w:rFonts w:asciiTheme="majorHAnsi" w:hAnsiTheme="majorHAnsi" w:cstheme="majorHAnsi"/>
                <w:bCs/>
              </w:rPr>
              <w:t xml:space="preserve">time </w:t>
            </w:r>
            <w:r w:rsidR="00DE56EC" w:rsidRPr="005C2547">
              <w:rPr>
                <w:rFonts w:asciiTheme="majorHAnsi" w:hAnsiTheme="majorHAnsi" w:cstheme="majorHAnsi"/>
                <w:bCs/>
              </w:rPr>
              <w:t>equivalents</w:t>
            </w:r>
            <w:r w:rsidR="00DD2D60" w:rsidRPr="005C2547">
              <w:rPr>
                <w:rFonts w:asciiTheme="majorHAnsi" w:hAnsiTheme="majorHAnsi" w:cstheme="majorHAnsi"/>
                <w:bCs/>
              </w:rPr>
              <w:t>.</w:t>
            </w:r>
            <w:r w:rsidR="00DD2D60" w:rsidRPr="005C2547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DD2D60" w:rsidRPr="005C2547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537A" w:rsidRPr="005C2547" w:rsidRDefault="00C76C02" w:rsidP="008A56AB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Conducts</w:t>
            </w:r>
            <w:r w:rsidR="006103EE" w:rsidRPr="005C2547">
              <w:rPr>
                <w:rFonts w:asciiTheme="majorHAnsi" w:hAnsiTheme="majorHAnsi" w:cstheme="majorHAnsi"/>
              </w:rPr>
              <w:t xml:space="preserve"> trade negotiations </w:t>
            </w:r>
            <w:r w:rsidRPr="005C2547">
              <w:rPr>
                <w:rFonts w:asciiTheme="majorHAnsi" w:hAnsiTheme="majorHAnsi" w:cstheme="majorHAnsi"/>
              </w:rPr>
              <w:t>and has</w:t>
            </w:r>
            <w:r w:rsidR="006103EE" w:rsidRPr="005C2547">
              <w:rPr>
                <w:rFonts w:asciiTheme="majorHAnsi" w:hAnsiTheme="majorHAnsi" w:cstheme="majorHAnsi"/>
              </w:rPr>
              <w:t xml:space="preserve"> other functions as directed by the U</w:t>
            </w:r>
            <w:r w:rsidR="008A56AB" w:rsidRPr="005C2547">
              <w:rPr>
                <w:rFonts w:asciiTheme="majorHAnsi" w:hAnsiTheme="majorHAnsi" w:cstheme="majorHAnsi"/>
              </w:rPr>
              <w:t>.</w:t>
            </w:r>
            <w:r w:rsidR="006103EE" w:rsidRPr="005C2547">
              <w:rPr>
                <w:rFonts w:asciiTheme="majorHAnsi" w:hAnsiTheme="majorHAnsi" w:cstheme="majorHAnsi"/>
              </w:rPr>
              <w:t>S</w:t>
            </w:r>
            <w:r w:rsidR="008A56AB" w:rsidRPr="005C2547">
              <w:rPr>
                <w:rFonts w:asciiTheme="majorHAnsi" w:hAnsiTheme="majorHAnsi" w:cstheme="majorHAnsi"/>
              </w:rPr>
              <w:t>.</w:t>
            </w:r>
            <w:r w:rsidR="006103EE" w:rsidRPr="005C2547">
              <w:rPr>
                <w:rFonts w:asciiTheme="majorHAnsi" w:hAnsiTheme="majorHAnsi" w:cstheme="majorHAnsi"/>
              </w:rPr>
              <w:t xml:space="preserve"> </w:t>
            </w:r>
            <w:r w:rsidR="00FF2C0D" w:rsidRPr="005C2547">
              <w:rPr>
                <w:rFonts w:asciiTheme="majorHAnsi" w:hAnsiTheme="majorHAnsi" w:cstheme="majorHAnsi"/>
              </w:rPr>
              <w:t xml:space="preserve">trade representative </w:t>
            </w:r>
            <w:r w:rsidR="006103EE" w:rsidRPr="005C2547">
              <w:rPr>
                <w:rFonts w:asciiTheme="majorHAnsi" w:hAnsiTheme="majorHAnsi" w:cstheme="majorHAnsi"/>
              </w:rPr>
              <w:t>(19 U.S.C § 2171)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5C254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5C254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5C254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[</w:t>
            </w:r>
            <w:r w:rsidR="005D5F5A" w:rsidRPr="005C2547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5C2547">
              <w:rPr>
                <w:rFonts w:asciiTheme="majorHAnsi" w:hAnsiTheme="majorHAnsi" w:cstheme="majorHAnsi"/>
              </w:rPr>
              <w:t>]</w:t>
            </w:r>
          </w:p>
          <w:p w:rsidR="0039752D" w:rsidRPr="005C254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5C254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5C254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254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C0D" w:rsidRPr="005C2547" w:rsidRDefault="00C51BE9" w:rsidP="005C4A0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shd w:val="clear" w:color="auto" w:fill="FFFFFF"/>
              </w:rPr>
              <w:t xml:space="preserve">Must not have </w:t>
            </w:r>
            <w:r w:rsidR="006103EE" w:rsidRPr="005C2547">
              <w:rPr>
                <w:rFonts w:asciiTheme="majorHAnsi" w:hAnsiTheme="majorHAnsi" w:cstheme="majorHAnsi"/>
                <w:shd w:val="clear" w:color="auto" w:fill="FFFFFF"/>
              </w:rPr>
              <w:t>directly represented, aided or advised a foreign entity (as defined by</w:t>
            </w:r>
            <w:r w:rsidR="006103EE" w:rsidRPr="005C2547">
              <w:rPr>
                <w:rStyle w:val="apple-converted-space"/>
                <w:rFonts w:asciiTheme="majorHAnsi" w:hAnsiTheme="majorHAnsi" w:cstheme="majorHAnsi"/>
                <w:shd w:val="clear" w:color="auto" w:fill="FFFFFF"/>
              </w:rPr>
              <w:t> </w:t>
            </w:r>
            <w:hyperlink r:id="rId11" w:tooltip="section 207(f)(3) of title 18" w:history="1">
              <w:r w:rsidR="006103EE" w:rsidRPr="005C2547"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section 207(f)(3) of title 18</w:t>
              </w:r>
            </w:hyperlink>
            <w:r w:rsidR="006103EE" w:rsidRPr="005C2547">
              <w:rPr>
                <w:rFonts w:asciiTheme="majorHAnsi" w:hAnsiTheme="majorHAnsi" w:cstheme="majorHAnsi"/>
                <w:shd w:val="clear" w:color="auto" w:fill="FFFFFF"/>
              </w:rPr>
              <w:t xml:space="preserve">) in </w:t>
            </w:r>
            <w:r w:rsidR="00C76C02" w:rsidRPr="005C2547">
              <w:rPr>
                <w:rFonts w:asciiTheme="majorHAnsi" w:hAnsiTheme="majorHAnsi" w:cstheme="majorHAnsi"/>
                <w:shd w:val="clear" w:color="auto" w:fill="FFFFFF"/>
              </w:rPr>
              <w:t>any trade negotiation or trade dispute</w:t>
            </w:r>
            <w:r w:rsidR="006103EE" w:rsidRPr="005C2547">
              <w:rPr>
                <w:rFonts w:asciiTheme="majorHAnsi" w:hAnsiTheme="majorHAnsi" w:cstheme="majorHAnsi"/>
                <w:shd w:val="clear" w:color="auto" w:fill="FFFFFF"/>
              </w:rPr>
              <w:t xml:space="preserve"> with the United States </w:t>
            </w:r>
            <w:r w:rsidR="006103EE" w:rsidRPr="005C2547">
              <w:rPr>
                <w:rFonts w:asciiTheme="majorHAnsi" w:hAnsiTheme="majorHAnsi" w:cstheme="majorHAnsi"/>
              </w:rPr>
              <w:t>(19 U.S.C. § 2171)</w:t>
            </w:r>
          </w:p>
          <w:p w:rsidR="00FF2C0D" w:rsidRPr="005C2547" w:rsidRDefault="00FF2C0D" w:rsidP="005C4A0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bCs/>
              </w:rPr>
              <w:t>When the president submits to the Senate for its advice and consent a nomination of an individual for appointment as a deputy U</w:t>
            </w:r>
            <w:r w:rsidR="00C51BE9" w:rsidRPr="005C2547">
              <w:rPr>
                <w:rFonts w:asciiTheme="majorHAnsi" w:hAnsiTheme="majorHAnsi" w:cstheme="majorHAnsi"/>
                <w:bCs/>
              </w:rPr>
              <w:t>.S.</w:t>
            </w:r>
            <w:r w:rsidRPr="005C2547">
              <w:rPr>
                <w:rFonts w:asciiTheme="majorHAnsi" w:hAnsiTheme="majorHAnsi" w:cstheme="majorHAnsi"/>
                <w:bCs/>
              </w:rPr>
              <w:t xml:space="preserve"> trade representative, the president shall include information on the country, regional offices and functions of the Office of the U</w:t>
            </w:r>
            <w:r w:rsidR="00C51BE9" w:rsidRPr="005C2547">
              <w:rPr>
                <w:rFonts w:asciiTheme="majorHAnsi" w:hAnsiTheme="majorHAnsi" w:cstheme="majorHAnsi"/>
                <w:bCs/>
              </w:rPr>
              <w:t>.S.</w:t>
            </w:r>
            <w:r w:rsidRPr="005C2547">
              <w:rPr>
                <w:rFonts w:asciiTheme="majorHAnsi" w:hAnsiTheme="majorHAnsi" w:cstheme="majorHAnsi"/>
                <w:bCs/>
              </w:rPr>
              <w:t xml:space="preserve"> Trade Representative </w:t>
            </w:r>
            <w:r w:rsidR="00C51BE9" w:rsidRPr="005C2547">
              <w:rPr>
                <w:rFonts w:asciiTheme="majorHAnsi" w:hAnsiTheme="majorHAnsi" w:cstheme="majorHAnsi"/>
                <w:bCs/>
              </w:rPr>
              <w:t xml:space="preserve">for which </w:t>
            </w:r>
            <w:r w:rsidRPr="005C2547">
              <w:rPr>
                <w:rFonts w:asciiTheme="majorHAnsi" w:hAnsiTheme="majorHAnsi" w:cstheme="majorHAnsi"/>
                <w:bCs/>
              </w:rPr>
              <w:t xml:space="preserve">that individual will have responsibility. </w:t>
            </w:r>
            <w:r w:rsidRPr="005C2547">
              <w:rPr>
                <w:rFonts w:asciiTheme="majorHAnsi" w:hAnsiTheme="majorHAnsi" w:cstheme="majorHAnsi"/>
              </w:rPr>
              <w:t>(19 U.S.C. § 2171)</w:t>
            </w:r>
          </w:p>
          <w:p w:rsidR="005C4A04" w:rsidRPr="005C2547" w:rsidRDefault="005C4A04" w:rsidP="005C4A0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bCs/>
              </w:rPr>
              <w:t>Trade policy experience</w:t>
            </w:r>
          </w:p>
          <w:p w:rsidR="005C4A04" w:rsidRPr="005C2547" w:rsidRDefault="00C51BE9" w:rsidP="005C4A0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bCs/>
              </w:rPr>
              <w:t>U</w:t>
            </w:r>
            <w:r w:rsidR="005C4A04" w:rsidRPr="005C2547">
              <w:rPr>
                <w:rFonts w:asciiTheme="majorHAnsi" w:hAnsiTheme="majorHAnsi" w:cstheme="majorHAnsi"/>
                <w:bCs/>
              </w:rPr>
              <w:t>nderstanding of the critical role of trade policy within broader U.S. foreign policy, as well as in domestic economic policy and U.S. competitiveness</w:t>
            </w:r>
          </w:p>
          <w:p w:rsidR="005C4A04" w:rsidRPr="005C2547" w:rsidRDefault="005C4A04" w:rsidP="005C4A0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hAnsiTheme="majorHAnsi" w:cstheme="majorHAnsi"/>
                <w:bCs/>
              </w:rPr>
              <w:lastRenderedPageBreak/>
              <w:t>Academic credentials in law, history an</w:t>
            </w:r>
            <w:r w:rsidR="00D05984" w:rsidRPr="005C2547">
              <w:rPr>
                <w:rFonts w:asciiTheme="majorHAnsi" w:hAnsiTheme="majorHAnsi" w:cstheme="majorHAnsi"/>
                <w:bCs/>
              </w:rPr>
              <w:t>d/or public policy (preferred)</w:t>
            </w:r>
          </w:p>
        </w:tc>
      </w:tr>
      <w:tr w:rsidR="00661AE5" w:rsidRPr="005C254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5C2547" w:rsidRDefault="00661AE5" w:rsidP="004E1C64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A04" w:rsidRPr="005C2547" w:rsidRDefault="005C4A04" w:rsidP="005C4A04">
            <w:pPr>
              <w:numPr>
                <w:ilvl w:val="0"/>
                <w:numId w:val="36"/>
              </w:numPr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5C2547">
              <w:rPr>
                <w:rFonts w:asciiTheme="majorHAnsi" w:eastAsia="Calibri" w:hAnsiTheme="majorHAnsi" w:cstheme="majorHAnsi"/>
              </w:rPr>
              <w:t>Diplomatic and analytical skills to negotiate complex agreements and lead other trading partners to consensus</w:t>
            </w:r>
          </w:p>
          <w:p w:rsidR="005C4A04" w:rsidRPr="005C2547" w:rsidRDefault="005C4A04" w:rsidP="005C4A04">
            <w:pPr>
              <w:numPr>
                <w:ilvl w:val="0"/>
                <w:numId w:val="36"/>
              </w:numPr>
              <w:shd w:val="clear" w:color="auto" w:fill="FFFFFF"/>
              <w:ind w:left="432"/>
              <w:contextualSpacing/>
              <w:rPr>
                <w:rFonts w:asciiTheme="majorHAnsi" w:eastAsia="Calibri" w:hAnsiTheme="majorHAnsi" w:cstheme="majorHAnsi"/>
                <w:bCs/>
              </w:rPr>
            </w:pPr>
            <w:r w:rsidRPr="005C2547">
              <w:rPr>
                <w:rFonts w:asciiTheme="majorHAnsi" w:eastAsia="Calibri" w:hAnsiTheme="majorHAnsi" w:cstheme="majorHAnsi"/>
              </w:rPr>
              <w:t xml:space="preserve">Strong interpersonal skills; ability to work across agencies </w:t>
            </w:r>
          </w:p>
          <w:p w:rsidR="00A87EC8" w:rsidRPr="005C2547" w:rsidRDefault="005C4A04" w:rsidP="005C4A0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C2547">
              <w:rPr>
                <w:rFonts w:asciiTheme="majorHAnsi" w:eastAsia="Calibri" w:hAnsiTheme="majorHAnsi" w:cstheme="majorHAnsi"/>
              </w:rPr>
              <w:t>Political acumen, a strategic nature and communication skills to manage disparate domestic interests and build legislative coalitions necessary to enact the president’s trade agenda</w:t>
            </w:r>
          </w:p>
        </w:tc>
      </w:tr>
      <w:tr w:rsidR="00661AE5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5C254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C254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5C2547" w:rsidRDefault="0047762A" w:rsidP="0073794B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 xml:space="preserve">Robert </w:t>
            </w:r>
            <w:proofErr w:type="spellStart"/>
            <w:r w:rsidRPr="005C2547">
              <w:rPr>
                <w:rFonts w:asciiTheme="majorHAnsi" w:hAnsiTheme="majorHAnsi" w:cstheme="majorHAnsi"/>
              </w:rPr>
              <w:t>Holleyman</w:t>
            </w:r>
            <w:proofErr w:type="spellEnd"/>
            <w:r w:rsidR="00BE379B" w:rsidRPr="005C2547">
              <w:rPr>
                <w:rFonts w:asciiTheme="majorHAnsi" w:hAnsiTheme="majorHAnsi" w:cstheme="majorHAnsi"/>
              </w:rPr>
              <w:t xml:space="preserve"> (</w:t>
            </w:r>
            <w:r w:rsidRPr="005C2547">
              <w:rPr>
                <w:rFonts w:asciiTheme="majorHAnsi" w:hAnsiTheme="majorHAnsi" w:cstheme="majorHAnsi"/>
              </w:rPr>
              <w:t xml:space="preserve">2014 to </w:t>
            </w:r>
            <w:r w:rsidR="0073794B">
              <w:rPr>
                <w:rFonts w:asciiTheme="majorHAnsi" w:hAnsiTheme="majorHAnsi" w:cstheme="majorHAnsi"/>
              </w:rPr>
              <w:t>2017</w:t>
            </w:r>
            <w:r w:rsidR="00A44F1C" w:rsidRPr="005C2547">
              <w:rPr>
                <w:rFonts w:asciiTheme="majorHAnsi" w:hAnsiTheme="majorHAnsi" w:cstheme="majorHAnsi"/>
              </w:rPr>
              <w:t xml:space="preserve">) </w:t>
            </w:r>
            <w:r w:rsidRPr="005C2547">
              <w:rPr>
                <w:rFonts w:asciiTheme="majorHAnsi" w:hAnsiTheme="majorHAnsi" w:cstheme="majorHAnsi"/>
              </w:rPr>
              <w:t>–</w:t>
            </w:r>
            <w:r w:rsidR="00A44F1C" w:rsidRPr="005C2547">
              <w:rPr>
                <w:rFonts w:asciiTheme="majorHAnsi" w:hAnsiTheme="majorHAnsi" w:cstheme="majorHAnsi"/>
              </w:rPr>
              <w:t xml:space="preserve"> </w:t>
            </w:r>
            <w:r w:rsidR="007A6D34" w:rsidRPr="005C2547">
              <w:rPr>
                <w:rFonts w:asciiTheme="majorHAnsi" w:hAnsiTheme="majorHAnsi" w:cstheme="majorHAnsi"/>
              </w:rPr>
              <w:t>F</w:t>
            </w:r>
            <w:r w:rsidR="00C542FE" w:rsidRPr="005C2547">
              <w:rPr>
                <w:rFonts w:asciiTheme="majorHAnsi" w:hAnsiTheme="majorHAnsi" w:cstheme="majorHAnsi"/>
              </w:rPr>
              <w:t xml:space="preserve">ounder of Cloud4Growth; </w:t>
            </w:r>
            <w:r w:rsidRPr="005C2547">
              <w:rPr>
                <w:rFonts w:asciiTheme="majorHAnsi" w:hAnsiTheme="majorHAnsi" w:cstheme="majorHAnsi"/>
              </w:rPr>
              <w:t>President and CEO of the Business Software Alliance;</w:t>
            </w:r>
            <w:r w:rsidR="00BE379B" w:rsidRPr="005C2547">
              <w:rPr>
                <w:rFonts w:asciiTheme="majorHAnsi" w:hAnsiTheme="majorHAnsi" w:cstheme="majorHAnsi"/>
              </w:rPr>
              <w:t xml:space="preserve"> </w:t>
            </w:r>
            <w:r w:rsidR="00C76C02" w:rsidRPr="005C2547">
              <w:rPr>
                <w:rFonts w:asciiTheme="majorHAnsi" w:hAnsiTheme="majorHAnsi" w:cstheme="majorHAnsi"/>
              </w:rPr>
              <w:t xml:space="preserve">Senior Counsel for </w:t>
            </w:r>
            <w:r w:rsidR="00C542FE" w:rsidRPr="005C2547">
              <w:rPr>
                <w:rFonts w:asciiTheme="majorHAnsi" w:hAnsiTheme="majorHAnsi" w:cstheme="majorHAnsi"/>
              </w:rPr>
              <w:t>Senate Committee on Comme</w:t>
            </w:r>
            <w:r w:rsidR="00C76C02" w:rsidRPr="005C2547">
              <w:rPr>
                <w:rFonts w:asciiTheme="majorHAnsi" w:hAnsiTheme="majorHAnsi" w:cstheme="majorHAnsi"/>
              </w:rPr>
              <w:t>rce, Science and Transportation</w:t>
            </w:r>
            <w:r w:rsidR="00BD77CF" w:rsidRPr="005C254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5C2547" w:rsidRDefault="00DD2D60">
            <w:pPr>
              <w:rPr>
                <w:rFonts w:asciiTheme="majorHAnsi" w:hAnsiTheme="majorHAnsi" w:cstheme="majorHAnsi"/>
              </w:rPr>
            </w:pPr>
            <w:proofErr w:type="spellStart"/>
            <w:r w:rsidRPr="005C2547">
              <w:rPr>
                <w:rFonts w:asciiTheme="majorHAnsi" w:hAnsiTheme="majorHAnsi" w:cstheme="majorHAnsi"/>
              </w:rPr>
              <w:t>Demetrios</w:t>
            </w:r>
            <w:proofErr w:type="spellEnd"/>
            <w:r w:rsidRPr="005C254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C2547">
              <w:rPr>
                <w:rFonts w:asciiTheme="majorHAnsi" w:hAnsiTheme="majorHAnsi" w:cstheme="majorHAnsi"/>
              </w:rPr>
              <w:t>Marantis</w:t>
            </w:r>
            <w:proofErr w:type="spellEnd"/>
            <w:r w:rsidR="00A44F1C" w:rsidRPr="005C2547">
              <w:rPr>
                <w:rFonts w:asciiTheme="majorHAnsi" w:hAnsiTheme="majorHAnsi" w:cstheme="majorHAnsi"/>
              </w:rPr>
              <w:t xml:space="preserve"> (</w:t>
            </w:r>
            <w:r w:rsidR="004304B8" w:rsidRPr="005C2547">
              <w:rPr>
                <w:rFonts w:asciiTheme="majorHAnsi" w:hAnsiTheme="majorHAnsi" w:cstheme="majorHAnsi"/>
              </w:rPr>
              <w:t>2009 to 2013</w:t>
            </w:r>
            <w:r w:rsidR="00A44F1C" w:rsidRPr="005C2547">
              <w:rPr>
                <w:rFonts w:asciiTheme="majorHAnsi" w:hAnsiTheme="majorHAnsi" w:cstheme="majorHAnsi"/>
              </w:rPr>
              <w:t xml:space="preserve">) </w:t>
            </w:r>
            <w:r w:rsidR="004304B8" w:rsidRPr="005C2547">
              <w:rPr>
                <w:rFonts w:asciiTheme="majorHAnsi" w:hAnsiTheme="majorHAnsi" w:cstheme="majorHAnsi"/>
              </w:rPr>
              <w:t>–</w:t>
            </w:r>
            <w:r w:rsidR="00C51BE9" w:rsidRPr="005C2547">
              <w:rPr>
                <w:rFonts w:asciiTheme="majorHAnsi" w:hAnsiTheme="majorHAnsi" w:cstheme="majorHAnsi"/>
              </w:rPr>
              <w:t xml:space="preserve"> </w:t>
            </w:r>
            <w:r w:rsidR="004304B8" w:rsidRPr="005C2547">
              <w:rPr>
                <w:rFonts w:asciiTheme="majorHAnsi" w:hAnsiTheme="majorHAnsi" w:cstheme="majorHAnsi"/>
              </w:rPr>
              <w:t>Chief International Trade Counsel for the Senate Finance Committee</w:t>
            </w:r>
            <w:r w:rsidR="00BE379B" w:rsidRPr="005C2547">
              <w:rPr>
                <w:rFonts w:asciiTheme="majorHAnsi" w:hAnsiTheme="majorHAnsi" w:cstheme="majorHAnsi"/>
              </w:rPr>
              <w:t xml:space="preserve">; </w:t>
            </w:r>
            <w:r w:rsidR="004304B8" w:rsidRPr="005C2547">
              <w:rPr>
                <w:rFonts w:asciiTheme="majorHAnsi" w:hAnsiTheme="majorHAnsi" w:cstheme="majorHAnsi"/>
              </w:rPr>
              <w:t>Issues Director for the Kerry-Edwards Presidential Campaign; Chief Legal Advisor for the U</w:t>
            </w:r>
            <w:r w:rsidR="00C76C02" w:rsidRPr="005C2547">
              <w:rPr>
                <w:rFonts w:asciiTheme="majorHAnsi" w:hAnsiTheme="majorHAnsi" w:cstheme="majorHAnsi"/>
              </w:rPr>
              <w:t>.</w:t>
            </w:r>
            <w:r w:rsidR="004304B8" w:rsidRPr="005C2547">
              <w:rPr>
                <w:rFonts w:asciiTheme="majorHAnsi" w:hAnsiTheme="majorHAnsi" w:cstheme="majorHAnsi"/>
              </w:rPr>
              <w:t>S</w:t>
            </w:r>
            <w:r w:rsidR="00C76C02" w:rsidRPr="005C2547">
              <w:rPr>
                <w:rFonts w:asciiTheme="majorHAnsi" w:hAnsiTheme="majorHAnsi" w:cstheme="majorHAnsi"/>
              </w:rPr>
              <w:t>.</w:t>
            </w:r>
            <w:r w:rsidR="004304B8" w:rsidRPr="005C2547">
              <w:rPr>
                <w:rFonts w:asciiTheme="majorHAnsi" w:hAnsiTheme="majorHAnsi" w:cstheme="majorHAnsi"/>
              </w:rPr>
              <w:t xml:space="preserve">-Vietnam Trade Council </w:t>
            </w:r>
            <w:r w:rsidR="004304B8" w:rsidRPr="005C2547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5C254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5C2547" w:rsidRDefault="004304B8" w:rsidP="00A60BEF">
            <w:pPr>
              <w:rPr>
                <w:rFonts w:asciiTheme="majorHAnsi" w:hAnsiTheme="majorHAnsi" w:cstheme="majorHAnsi"/>
              </w:rPr>
            </w:pPr>
            <w:r w:rsidRPr="005C2547">
              <w:rPr>
                <w:rFonts w:asciiTheme="majorHAnsi" w:hAnsiTheme="majorHAnsi" w:cstheme="majorHAnsi"/>
              </w:rPr>
              <w:t xml:space="preserve">Susan C. Schwab </w:t>
            </w:r>
            <w:r w:rsidR="00A44F1C" w:rsidRPr="005C2547">
              <w:rPr>
                <w:rFonts w:asciiTheme="majorHAnsi" w:hAnsiTheme="majorHAnsi" w:cstheme="majorHAnsi"/>
              </w:rPr>
              <w:t>(</w:t>
            </w:r>
            <w:r w:rsidRPr="005C2547">
              <w:rPr>
                <w:rFonts w:asciiTheme="majorHAnsi" w:hAnsiTheme="majorHAnsi" w:cstheme="majorHAnsi"/>
              </w:rPr>
              <w:t>2005 to 2006</w:t>
            </w:r>
            <w:r w:rsidR="00A44F1C" w:rsidRPr="005C2547">
              <w:rPr>
                <w:rFonts w:asciiTheme="majorHAnsi" w:hAnsiTheme="majorHAnsi" w:cstheme="majorHAnsi"/>
              </w:rPr>
              <w:t xml:space="preserve">) </w:t>
            </w:r>
            <w:r w:rsidRPr="005C2547">
              <w:rPr>
                <w:rFonts w:asciiTheme="majorHAnsi" w:hAnsiTheme="majorHAnsi" w:cstheme="majorHAnsi"/>
              </w:rPr>
              <w:t>–</w:t>
            </w:r>
            <w:r w:rsidR="00C51BE9" w:rsidRPr="005C2547">
              <w:rPr>
                <w:rFonts w:asciiTheme="majorHAnsi" w:hAnsiTheme="majorHAnsi" w:cstheme="majorHAnsi"/>
              </w:rPr>
              <w:t xml:space="preserve"> </w:t>
            </w:r>
            <w:r w:rsidRPr="005C2547">
              <w:rPr>
                <w:rFonts w:asciiTheme="majorHAnsi" w:hAnsiTheme="majorHAnsi" w:cstheme="majorHAnsi"/>
              </w:rPr>
              <w:t>Dean of the University of Maryland School of Public Policy; President and CEO of the University System of Maryland (USM) Foundation and USM Vice Chancellor for Advancement; Director of Corporate Business Development</w:t>
            </w:r>
            <w:r w:rsidR="00C76C02" w:rsidRPr="005C2547">
              <w:rPr>
                <w:rFonts w:asciiTheme="majorHAnsi" w:hAnsiTheme="majorHAnsi" w:cstheme="majorHAnsi"/>
              </w:rPr>
              <w:t xml:space="preserve"> for Motorola, Inc.</w:t>
            </w:r>
            <w:r w:rsidRPr="005C2547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37" w:rsidRDefault="003D7E37" w:rsidP="001E22F1">
      <w:r>
        <w:separator/>
      </w:r>
    </w:p>
  </w:endnote>
  <w:endnote w:type="continuationSeparator" w:id="0">
    <w:p w:rsidR="003D7E37" w:rsidRDefault="003D7E37" w:rsidP="001E22F1">
      <w:r>
        <w:continuationSeparator/>
      </w:r>
    </w:p>
  </w:endnote>
  <w:endnote w:id="1">
    <w:p w:rsidR="006103EE" w:rsidRDefault="006103E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D2D60" w:rsidRPr="00DD2D60">
        <w:t>https://ustr.gov/about-us/about-ustr</w:t>
      </w:r>
    </w:p>
  </w:endnote>
  <w:endnote w:id="2">
    <w:p w:rsidR="005C2547" w:rsidRDefault="005C254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E702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D05984" w:rsidRDefault="00D05984" w:rsidP="00D0598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103EE">
        <w:t>https://ustr.gov/about-us/organization</w:t>
      </w:r>
    </w:p>
  </w:endnote>
  <w:endnote w:id="4">
    <w:p w:rsidR="00DD2D60" w:rsidRDefault="00DD2D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D2D60">
        <w:t>https://ustr.gov/sites/default/files/files/about/FY2016%20USTR%20Congressional%20Budget%20Submission.pdf</w:t>
      </w:r>
    </w:p>
  </w:endnote>
  <w:endnote w:id="5">
    <w:p w:rsidR="00BD77CF" w:rsidRDefault="00BD77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77CF">
        <w:t>https://ustr.gov/about-us/biographies-key-officials/ambassador-robert-holleyman-deputy-ustr</w:t>
      </w:r>
    </w:p>
  </w:endnote>
  <w:endnote w:id="6">
    <w:p w:rsidR="004304B8" w:rsidRDefault="004304B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304B8">
          <w:rPr>
            <w:rStyle w:val="Hyperlink"/>
          </w:rPr>
          <w:t xml:space="preserve">LinkedIn </w:t>
        </w:r>
        <w:r w:rsidR="00B21287">
          <w:rPr>
            <w:rStyle w:val="Hyperlink"/>
          </w:rPr>
          <w:t>Page</w:t>
        </w:r>
        <w:r w:rsidRPr="004304B8">
          <w:rPr>
            <w:rStyle w:val="Hyperlink"/>
          </w:rPr>
          <w:t xml:space="preserve"> </w:t>
        </w:r>
      </w:hyperlink>
    </w:p>
  </w:endnote>
  <w:endnote w:id="7">
    <w:p w:rsidR="004304B8" w:rsidRDefault="004304B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304B8">
        <w:t>https://georgewbush-whitehouse.archives.gov/government/sschwab-bio.html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37" w:rsidRDefault="003D7E37" w:rsidP="001E22F1">
      <w:r>
        <w:separator/>
      </w:r>
    </w:p>
  </w:footnote>
  <w:footnote w:type="continuationSeparator" w:id="0">
    <w:p w:rsidR="003D7E37" w:rsidRDefault="003D7E3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E702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2FC840C0"/>
    <w:multiLevelType w:val="hybridMultilevel"/>
    <w:tmpl w:val="983C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E11D4"/>
    <w:multiLevelType w:val="hybridMultilevel"/>
    <w:tmpl w:val="DECE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1"/>
  </w:num>
  <w:num w:numId="7">
    <w:abstractNumId w:val="4"/>
  </w:num>
  <w:num w:numId="8">
    <w:abstractNumId w:val="27"/>
  </w:num>
  <w:num w:numId="9">
    <w:abstractNumId w:val="15"/>
  </w:num>
  <w:num w:numId="10">
    <w:abstractNumId w:val="6"/>
  </w:num>
  <w:num w:numId="11">
    <w:abstractNumId w:val="13"/>
  </w:num>
  <w:num w:numId="12">
    <w:abstractNumId w:val="21"/>
  </w:num>
  <w:num w:numId="13">
    <w:abstractNumId w:val="20"/>
  </w:num>
  <w:num w:numId="14">
    <w:abstractNumId w:val="22"/>
  </w:num>
  <w:num w:numId="15">
    <w:abstractNumId w:val="24"/>
  </w:num>
  <w:num w:numId="16">
    <w:abstractNumId w:val="1"/>
  </w:num>
  <w:num w:numId="17">
    <w:abstractNumId w:val="17"/>
  </w:num>
  <w:num w:numId="18">
    <w:abstractNumId w:val="30"/>
  </w:num>
  <w:num w:numId="19">
    <w:abstractNumId w:val="8"/>
  </w:num>
  <w:num w:numId="20">
    <w:abstractNumId w:val="23"/>
  </w:num>
  <w:num w:numId="21">
    <w:abstractNumId w:val="28"/>
  </w:num>
  <w:num w:numId="22">
    <w:abstractNumId w:val="10"/>
  </w:num>
  <w:num w:numId="23">
    <w:abstractNumId w:val="7"/>
  </w:num>
  <w:num w:numId="24">
    <w:abstractNumId w:val="29"/>
  </w:num>
  <w:num w:numId="25">
    <w:abstractNumId w:val="12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  <w:num w:numId="31">
    <w:abstractNumId w:val="33"/>
  </w:num>
  <w:num w:numId="32">
    <w:abstractNumId w:val="34"/>
  </w:num>
  <w:num w:numId="33">
    <w:abstractNumId w:val="9"/>
  </w:num>
  <w:num w:numId="34">
    <w:abstractNumId w:val="0"/>
  </w:num>
  <w:num w:numId="35">
    <w:abstractNumId w:val="25"/>
  </w:num>
  <w:num w:numId="36">
    <w:abstractNumId w:val="3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41E0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1689"/>
    <w:rsid w:val="0012306F"/>
    <w:rsid w:val="00125E46"/>
    <w:rsid w:val="0012723C"/>
    <w:rsid w:val="00134D8D"/>
    <w:rsid w:val="00136A97"/>
    <w:rsid w:val="00137365"/>
    <w:rsid w:val="00150B8D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E7024"/>
    <w:rsid w:val="001F181A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D7E37"/>
    <w:rsid w:val="003E45AC"/>
    <w:rsid w:val="00405D3E"/>
    <w:rsid w:val="00405E4F"/>
    <w:rsid w:val="00411497"/>
    <w:rsid w:val="00414F4B"/>
    <w:rsid w:val="00422D9C"/>
    <w:rsid w:val="00424234"/>
    <w:rsid w:val="004304B8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7762A"/>
    <w:rsid w:val="004846D3"/>
    <w:rsid w:val="004853B8"/>
    <w:rsid w:val="00490323"/>
    <w:rsid w:val="00490A62"/>
    <w:rsid w:val="00491AD6"/>
    <w:rsid w:val="004960D6"/>
    <w:rsid w:val="004967A1"/>
    <w:rsid w:val="004A5A1A"/>
    <w:rsid w:val="004A7CC7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C2547"/>
    <w:rsid w:val="005C4A04"/>
    <w:rsid w:val="005D4099"/>
    <w:rsid w:val="005D5806"/>
    <w:rsid w:val="005D5F5A"/>
    <w:rsid w:val="005E6E2F"/>
    <w:rsid w:val="005F2771"/>
    <w:rsid w:val="006013AB"/>
    <w:rsid w:val="00602B9F"/>
    <w:rsid w:val="00603EFC"/>
    <w:rsid w:val="006103EE"/>
    <w:rsid w:val="00622F39"/>
    <w:rsid w:val="0063039C"/>
    <w:rsid w:val="00635D16"/>
    <w:rsid w:val="00637430"/>
    <w:rsid w:val="00647399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2649B"/>
    <w:rsid w:val="00732A91"/>
    <w:rsid w:val="00736EC8"/>
    <w:rsid w:val="0073794B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A6D34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56AB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29A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0BE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12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D77CF"/>
    <w:rsid w:val="00BE28D8"/>
    <w:rsid w:val="00BE379B"/>
    <w:rsid w:val="00BF2BCE"/>
    <w:rsid w:val="00C00762"/>
    <w:rsid w:val="00C05B41"/>
    <w:rsid w:val="00C068DB"/>
    <w:rsid w:val="00C07FF8"/>
    <w:rsid w:val="00C133A1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1BE9"/>
    <w:rsid w:val="00C542FE"/>
    <w:rsid w:val="00C5538B"/>
    <w:rsid w:val="00C71212"/>
    <w:rsid w:val="00C76C0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98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48D5"/>
    <w:rsid w:val="00D66F40"/>
    <w:rsid w:val="00D7198E"/>
    <w:rsid w:val="00D744FA"/>
    <w:rsid w:val="00D8185C"/>
    <w:rsid w:val="00D8605F"/>
    <w:rsid w:val="00D8690A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2D60"/>
    <w:rsid w:val="00DD6727"/>
    <w:rsid w:val="00DE56EC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06A6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61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w.cornell.edu/uscode/text/18/lii:usc:t:18:s:207:f: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demetrios-marantis-2705aa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36804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6A088-352E-4E79-9325-90943B7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3115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2016-07-12T18:00:00Z</cp:lastPrinted>
  <dcterms:created xsi:type="dcterms:W3CDTF">2016-12-19T18:09:00Z</dcterms:created>
  <dcterms:modified xsi:type="dcterms:W3CDTF">2017-08-22T19:20:00Z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